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Bowman Consulting Group Ltd.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001-40371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54-1762351</w:t>
      </w:r>
    </w:p>
    <w:p>
      <w:pPr>
        <w:spacing w:after="0" w:line="24" w:lineRule="exact"/>
        <w:rPr>
          <w:sz w:val="24"/>
          <w:szCs w:val="24"/>
          <w:color w:val="auto"/>
        </w:rPr>
      </w:pPr>
    </w:p>
    <w:p>
      <w:pPr>
        <w:sectPr>
          <w:pgSz w:w="11900" w:h="16838" w:orient="portrait"/>
          <w:cols w:equalWidth="0" w:num="3">
            <w:col w:w="4500" w:space="720"/>
            <w:col w:w="2880" w:space="720"/>
            <w:col w:w="2200"/>
          </w:cols>
          <w:pgMar w:left="440" w:top="376" w:right="439" w:bottom="1440" w:gutter="0" w:footer="0" w:header="0"/>
          <w:type w:val="continuous"/>
        </w:sectPr>
      </w:pP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0" w:space="720"/>
            <w:col w:w="2760" w:space="720"/>
            <w:col w:w="2340"/>
          </w:cols>
          <w:pgMar w:left="440" w:top="376" w:right="43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12355 Sunrise Valley Drive, Suite 520</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Reston, Virginia 20191</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(703) 464-1000</w:t>
      </w:r>
    </w:p>
    <w:p>
      <w:pPr>
        <w:spacing w:after="0" w:line="30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179070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p>
      <w:pPr>
        <w:spacing w:after="0" w:line="200" w:lineRule="exact"/>
        <w:rPr>
          <w:sz w:val="24"/>
          <w:szCs w:val="24"/>
          <w:color w:val="auto"/>
        </w:rPr>
      </w:pPr>
    </w:p>
    <w:p>
      <w:pPr>
        <w:spacing w:after="0" w:line="212"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right="2020" w:firstLine="428"/>
        <w:spacing w:after="0" w:line="418" w:lineRule="auto"/>
        <w:tabs>
          <w:tab w:leader="none" w:pos="9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BWMN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Nasdaq Global Market</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ind w:left="880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1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85725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Times New Roman" w:cs="Times New Roman" w:eastAsia="Times New Roman" w:hAnsi="Times New Roman"/>
          <w:sz w:val="18"/>
          <w:szCs w:val="18"/>
          <w:b w:val="1"/>
          <w:bCs w:val="1"/>
          <w:color w:val="auto"/>
        </w:rPr>
        <w:t>Submission of Matters to a Vote of Security Holders.</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Bowman Consulting Group Ltd. (the “Company”) held its annual meeting of stockholders on May 28, 2026. Stockholders were asked to vote on two proposals: the election of two (2) Class II directors for terms expiring at the 2029 annual meeting of stockholders and the ratification of the appointment of Ernst &amp; Young LLP as the Company’s independent registered public accounting firm for the fiscal year ending December 31, 2026. Final voting results are set forth below.</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Final votes regarding the election of two Class II directors for terms expiring at the 2029 annual meeting of stockholders and until her successor is duly elected and qualified are set forth below. Accordingly, each director nominee was elected.</w:t>
      </w:r>
    </w:p>
    <w:p>
      <w:pPr>
        <w:spacing w:after="0" w:line="182" w:lineRule="exact"/>
        <w:rPr>
          <w:sz w:val="20"/>
          <w:szCs w:val="20"/>
          <w:color w:val="auto"/>
        </w:rPr>
      </w:pPr>
    </w:p>
    <w:tbl>
      <w:tblPr>
        <w:tblLayout w:type="fixed"/>
        <w:tblInd w:w="880" w:type="dxa"/>
        <w:tblCellMar>
          <w:top w:w="0" w:type="dxa"/>
          <w:left w:w="0" w:type="dxa"/>
          <w:bottom w:w="0" w:type="dxa"/>
          <w:right w:w="0" w:type="dxa"/>
        </w:tblCellMar>
      </w:tblPr>
      <w:tr>
        <w:trPr>
          <w:trHeight w:val="173"/>
        </w:trPr>
        <w:tc>
          <w:tcPr>
            <w:tcW w:w="3300" w:type="dxa"/>
            <w:vAlign w:val="bottom"/>
          </w:tcPr>
          <w:p>
            <w:pPr>
              <w:spacing w:after="0"/>
              <w:rPr>
                <w:sz w:val="15"/>
                <w:szCs w:val="15"/>
                <w:color w:val="auto"/>
              </w:rPr>
            </w:pPr>
          </w:p>
        </w:tc>
        <w:tc>
          <w:tcPr>
            <w:tcW w:w="2940" w:type="dxa"/>
            <w:vAlign w:val="bottom"/>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FOR</w:t>
            </w:r>
          </w:p>
        </w:tc>
        <w:tc>
          <w:tcPr>
            <w:tcW w:w="1300" w:type="dxa"/>
            <w:vAlign w:val="bottom"/>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BROKER NON VOTE</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Grebbien</w:t>
            </w:r>
          </w:p>
        </w:tc>
        <w:tc>
          <w:tcPr>
            <w:tcW w:w="29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6,941,799</w:t>
            </w:r>
          </w:p>
        </w:tc>
        <w:tc>
          <w:tcPr>
            <w:tcW w:w="130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4,669,290</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2,754,551</w:t>
            </w:r>
          </w:p>
        </w:tc>
      </w:tr>
      <w:tr>
        <w:trPr>
          <w:trHeight w:val="234"/>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Patricia Mulroy</w:t>
            </w:r>
          </w:p>
        </w:tc>
        <w:tc>
          <w:tcPr>
            <w:tcW w:w="29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6,189,173</w:t>
            </w:r>
          </w:p>
        </w:tc>
        <w:tc>
          <w:tcPr>
            <w:tcW w:w="130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5,421,916</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2,754,551</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Appointment of Independent Registered Public Accounting Firm</w:t>
      </w:r>
    </w:p>
    <w:p>
      <w:pPr>
        <w:spacing w:after="0" w:line="121"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Final votes on the ratification of the appointment of Ernst &amp; Young LLP as independent registered public accounting firm of the Company to serve for the fiscal year ending December 31, 2026 are set forth below. Accordingly, the appointment of Ernst &amp; Young LLP was ratified.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60" w:type="dxa"/>
            <w:vAlign w:val="bottom"/>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FOR</w:t>
            </w:r>
          </w:p>
        </w:tc>
        <w:tc>
          <w:tcPr>
            <w:tcW w:w="2760" w:type="dxa"/>
            <w:vAlign w:val="bottom"/>
          </w:tcPr>
          <w:p>
            <w:pPr>
              <w:jc w:val="center"/>
              <w:ind w:right="639"/>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40" w:type="dxa"/>
            <w:vAlign w:val="bottom"/>
          </w:tcPr>
          <w:p>
            <w:pPr>
              <w:jc w:val="center"/>
              <w:ind w:right="239"/>
              <w:spacing w:after="0"/>
              <w:rPr>
                <w:sz w:val="20"/>
                <w:szCs w:val="20"/>
                <w:color w:val="auto"/>
              </w:rPr>
            </w:pPr>
            <w:r>
              <w:rPr>
                <w:rFonts w:ascii="Times New Roman" w:cs="Times New Roman" w:eastAsia="Times New Roman" w:hAnsi="Times New Roman"/>
                <w:sz w:val="14"/>
                <w:szCs w:val="14"/>
                <w:b w:val="1"/>
                <w:bCs w:val="1"/>
                <w:color w:val="auto"/>
                <w:w w:val="99"/>
              </w:rPr>
              <w:t>ABSTAIN</w:t>
            </w: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60" w:type="dxa"/>
            <w:vAlign w:val="bottom"/>
            <w:shd w:val="clear" w:color="auto" w:fill="CCEEFF"/>
          </w:tcPr>
          <w:p>
            <w:pPr>
              <w:jc w:val="right"/>
              <w:ind w:right="1359"/>
              <w:spacing w:after="0"/>
              <w:rPr>
                <w:sz w:val="20"/>
                <w:szCs w:val="20"/>
                <w:color w:val="auto"/>
              </w:rPr>
            </w:pPr>
            <w:r>
              <w:rPr>
                <w:rFonts w:ascii="Times New Roman" w:cs="Times New Roman" w:eastAsia="Times New Roman" w:hAnsi="Times New Roman"/>
                <w:sz w:val="18"/>
                <w:szCs w:val="18"/>
                <w:color w:val="auto"/>
              </w:rPr>
              <w:t>13,934,503</w:t>
            </w:r>
          </w:p>
        </w:tc>
        <w:tc>
          <w:tcPr>
            <w:tcW w:w="2760" w:type="dxa"/>
            <w:vAlign w:val="bottom"/>
            <w:shd w:val="clear" w:color="auto" w:fill="CCEEFF"/>
          </w:tcPr>
          <w:p>
            <w:pPr>
              <w:jc w:val="right"/>
              <w:ind w:right="1359"/>
              <w:spacing w:after="0"/>
              <w:rPr>
                <w:sz w:val="20"/>
                <w:szCs w:val="20"/>
                <w:color w:val="auto"/>
              </w:rPr>
            </w:pPr>
            <w:r>
              <w:rPr>
                <w:rFonts w:ascii="Times New Roman" w:cs="Times New Roman" w:eastAsia="Times New Roman" w:hAnsi="Times New Roman"/>
                <w:sz w:val="18"/>
                <w:szCs w:val="18"/>
                <w:color w:val="auto"/>
              </w:rPr>
              <w:t>430,981</w:t>
            </w:r>
          </w:p>
        </w:tc>
        <w:tc>
          <w:tcPr>
            <w:tcW w:w="234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581"/>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780" w:type="dxa"/>
            <w:vAlign w:val="bottom"/>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2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37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7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3780" w:type="dxa"/>
            <w:vAlign w:val="bottom"/>
            <w:gridSpan w:val="2"/>
            <w:vMerge w:val="continue"/>
          </w:tcPr>
          <w:p>
            <w:pPr>
              <w:spacing w:after="0"/>
              <w:rPr>
                <w:sz w:val="16"/>
                <w:szCs w:val="16"/>
                <w:color w:val="auto"/>
              </w:rPr>
            </w:pPr>
          </w:p>
        </w:tc>
        <w:tc>
          <w:tcPr>
            <w:tcW w:w="27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5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440" w:top="293" w:right="499" w:bottom="1440" w:gutter="0" w:footer="0" w:header="0"/>
        </w:sectPr>
      </w:pPr>
    </w:p>
    <w:bookmarkStart w:id="2" w:name="page3"/>
    <w:bookmarkEnd w:id="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BOWMAN CONSULTING GROUP LTD.</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June 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Bruce Labovitz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Bruce Labovitz</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0780"/>
      </w:cols>
      <w:pgMar w:left="440" w:top="29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2026-06-03T15:44:18Z</dcterms:created>
  <dcterms:modified xsi:type="dcterms:W3CDTF">2026-06-03T15:44:18Z</dcterms:modified>
</cp:coreProperties>
</file>